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am a self-taught artist with no formal education in the arts. I enjoyed art from an early age;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beginning with drawing and coloring. As a teenager I explored many mediums. These included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landscapes and portraits in acrylic and pastels. In addition, I also dabbled in fabric arts and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photography. With the arrival of children, I put my interest in art on hold. Luckily with retirement,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found time to travel and became interested in stained glass upon visiting an exhibit of Tiffany’s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work 10 years ago. I fell in love with glass and how light affected it. My main focus is in the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copper foil method as opposed to the lead light or came method. Stained glass can be used 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many applications and just about anywhere; whether you are using natural or artificial light,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inside the home or out in the garden, and combining it with other materials. The possibilities are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just endless.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Some of my larger work is in panels. Usually made for a specific window or space/furniture and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design dictated by commission.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